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9638" w14:textId="2B566B78" w:rsidR="00587B4B" w:rsidRPr="00587B4B" w:rsidRDefault="00587B4B" w:rsidP="00587B4B">
      <w:pPr>
        <w:jc w:val="center"/>
      </w:pPr>
      <w:r>
        <w:rPr>
          <w:noProof/>
        </w:rPr>
        <w:drawing>
          <wp:inline distT="0" distB="0" distL="0" distR="0" wp14:anchorId="334C4E5B" wp14:editId="76BF7E1F">
            <wp:extent cx="3613906" cy="5135880"/>
            <wp:effectExtent l="0" t="0" r="571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1" cy="52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3A83" w14:textId="735344CE" w:rsidR="00587B4B" w:rsidRDefault="00587B4B" w:rsidP="00587B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7392"/>
        <w:gridCol w:w="1559"/>
        <w:gridCol w:w="1276"/>
        <w:gridCol w:w="1559"/>
      </w:tblGrid>
      <w:tr w:rsidR="00D22693" w:rsidRPr="002050D4" w14:paraId="13C055D2" w14:textId="77777777" w:rsidTr="009B4A31">
        <w:tc>
          <w:tcPr>
            <w:tcW w:w="2101" w:type="dxa"/>
          </w:tcPr>
          <w:p w14:paraId="28205FBB" w14:textId="77777777" w:rsidR="00D22693" w:rsidRPr="002050D4" w:rsidRDefault="00D22693" w:rsidP="009B4A31">
            <w:pPr>
              <w:pStyle w:val="Heading1"/>
            </w:pPr>
          </w:p>
        </w:tc>
        <w:tc>
          <w:tcPr>
            <w:tcW w:w="7392" w:type="dxa"/>
          </w:tcPr>
          <w:p w14:paraId="7D05470C" w14:textId="77777777" w:rsidR="00D22693" w:rsidRPr="002050D4" w:rsidRDefault="00D22693" w:rsidP="009B4A31">
            <w:pPr>
              <w:pStyle w:val="Heading2"/>
            </w:pPr>
            <w:bookmarkStart w:id="0" w:name="_Toc43310061"/>
            <w:bookmarkStart w:id="1" w:name="_Toc43310499"/>
            <w:r w:rsidRPr="002050D4">
              <w:t>Policies and practices checklist</w:t>
            </w:r>
            <w:bookmarkEnd w:id="0"/>
            <w:bookmarkEnd w:id="1"/>
          </w:p>
        </w:tc>
        <w:tc>
          <w:tcPr>
            <w:tcW w:w="1559" w:type="dxa"/>
          </w:tcPr>
          <w:p w14:paraId="4E838774" w14:textId="77777777" w:rsidR="00D22693" w:rsidRPr="002050D4" w:rsidRDefault="00D22693" w:rsidP="009B4A31">
            <w:pPr>
              <w:pStyle w:val="Heading1"/>
            </w:pPr>
          </w:p>
        </w:tc>
        <w:tc>
          <w:tcPr>
            <w:tcW w:w="1276" w:type="dxa"/>
          </w:tcPr>
          <w:p w14:paraId="26F03CCB" w14:textId="77777777" w:rsidR="00D22693" w:rsidRPr="002050D4" w:rsidRDefault="00D22693" w:rsidP="009B4A31">
            <w:pPr>
              <w:pStyle w:val="Heading1"/>
            </w:pPr>
          </w:p>
        </w:tc>
        <w:tc>
          <w:tcPr>
            <w:tcW w:w="1559" w:type="dxa"/>
          </w:tcPr>
          <w:p w14:paraId="6958EE71" w14:textId="77777777" w:rsidR="00D22693" w:rsidRPr="002050D4" w:rsidRDefault="00D22693" w:rsidP="009B4A31">
            <w:pPr>
              <w:pStyle w:val="Heading1"/>
            </w:pPr>
          </w:p>
        </w:tc>
      </w:tr>
      <w:tr w:rsidR="00D22693" w:rsidRPr="002050D4" w14:paraId="2480EF8F" w14:textId="77777777" w:rsidTr="009B4A31">
        <w:tc>
          <w:tcPr>
            <w:tcW w:w="2101" w:type="dxa"/>
          </w:tcPr>
          <w:p w14:paraId="54A91AED" w14:textId="77777777" w:rsidR="00D22693" w:rsidRPr="002050D4" w:rsidRDefault="00D22693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2" w:type="dxa"/>
          </w:tcPr>
          <w:p w14:paraId="767AD46E" w14:textId="77777777" w:rsidR="00D22693" w:rsidRPr="002050D4" w:rsidRDefault="00D22693" w:rsidP="009B4A31">
            <w:pPr>
              <w:rPr>
                <w:b/>
                <w:bCs/>
                <w:iCs/>
              </w:rPr>
            </w:pPr>
            <w:r w:rsidRPr="002050D4">
              <w:rPr>
                <w:b/>
                <w:bCs/>
                <w:iCs/>
              </w:rPr>
              <w:t>Best practice</w:t>
            </w:r>
          </w:p>
        </w:tc>
        <w:tc>
          <w:tcPr>
            <w:tcW w:w="1559" w:type="dxa"/>
          </w:tcPr>
          <w:p w14:paraId="61347419" w14:textId="77777777" w:rsidR="00D22693" w:rsidRPr="002050D4" w:rsidRDefault="00D22693" w:rsidP="009B4A31">
            <w:pPr>
              <w:rPr>
                <w:b/>
                <w:bCs/>
                <w:iCs/>
              </w:rPr>
            </w:pPr>
            <w:r w:rsidRPr="002050D4">
              <w:rPr>
                <w:b/>
                <w:bCs/>
                <w:iCs/>
              </w:rPr>
              <w:t>Responsible officer</w:t>
            </w:r>
          </w:p>
        </w:tc>
        <w:tc>
          <w:tcPr>
            <w:tcW w:w="1276" w:type="dxa"/>
          </w:tcPr>
          <w:p w14:paraId="3456D1E7" w14:textId="77777777" w:rsidR="00D22693" w:rsidRPr="002050D4" w:rsidRDefault="00D22693" w:rsidP="009B4A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Deadline</w:t>
            </w:r>
          </w:p>
        </w:tc>
        <w:tc>
          <w:tcPr>
            <w:tcW w:w="1559" w:type="dxa"/>
          </w:tcPr>
          <w:p w14:paraId="01BF5733" w14:textId="77777777" w:rsidR="00D22693" w:rsidRPr="002050D4" w:rsidRDefault="00D22693" w:rsidP="009B4A31">
            <w:pPr>
              <w:rPr>
                <w:b/>
                <w:bCs/>
                <w:iCs/>
              </w:rPr>
            </w:pPr>
            <w:r w:rsidRPr="002050D4">
              <w:rPr>
                <w:b/>
                <w:bCs/>
                <w:iCs/>
              </w:rPr>
              <w:t>Satisfactory</w:t>
            </w:r>
          </w:p>
        </w:tc>
      </w:tr>
      <w:tr w:rsidR="00D22693" w14:paraId="01C0D0C7" w14:textId="77777777" w:rsidTr="009B4A31">
        <w:tc>
          <w:tcPr>
            <w:tcW w:w="2101" w:type="dxa"/>
          </w:tcPr>
          <w:p w14:paraId="017304FE" w14:textId="77777777" w:rsidR="00D22693" w:rsidRPr="00110307" w:rsidRDefault="00D22693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Policies</w:t>
            </w:r>
          </w:p>
        </w:tc>
        <w:tc>
          <w:tcPr>
            <w:tcW w:w="7392" w:type="dxa"/>
          </w:tcPr>
          <w:p w14:paraId="349325B1" w14:textId="77777777" w:rsidR="00D22693" w:rsidRPr="00E77AD3" w:rsidRDefault="00D22693" w:rsidP="009B4A31"/>
        </w:tc>
        <w:tc>
          <w:tcPr>
            <w:tcW w:w="1559" w:type="dxa"/>
          </w:tcPr>
          <w:p w14:paraId="0C19D198" w14:textId="77777777" w:rsidR="00D22693" w:rsidRDefault="00D22693" w:rsidP="009B4A31"/>
        </w:tc>
        <w:tc>
          <w:tcPr>
            <w:tcW w:w="1276" w:type="dxa"/>
          </w:tcPr>
          <w:p w14:paraId="558A6E79" w14:textId="77777777" w:rsidR="00D22693" w:rsidRDefault="00D22693" w:rsidP="009B4A31"/>
        </w:tc>
        <w:tc>
          <w:tcPr>
            <w:tcW w:w="1559" w:type="dxa"/>
          </w:tcPr>
          <w:p w14:paraId="3ABD0DA2" w14:textId="77777777" w:rsidR="00D22693" w:rsidRDefault="00D22693" w:rsidP="009B4A31"/>
        </w:tc>
      </w:tr>
      <w:tr w:rsidR="00D22693" w14:paraId="6B5BF666" w14:textId="77777777" w:rsidTr="009B4A31">
        <w:tc>
          <w:tcPr>
            <w:tcW w:w="2101" w:type="dxa"/>
          </w:tcPr>
          <w:p w14:paraId="5D161C5C" w14:textId="77777777" w:rsidR="00D22693" w:rsidRPr="004B76AF" w:rsidRDefault="00D22693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344AECDC" w14:textId="77777777" w:rsidR="00D22693" w:rsidRDefault="00D22693" w:rsidP="009B4A31">
            <w:r>
              <w:t xml:space="preserve">Design and adopt </w:t>
            </w:r>
            <w:r w:rsidRPr="002050D4">
              <w:t>a</w:t>
            </w:r>
            <w:r>
              <w:t xml:space="preserve">n Epidemic &amp; Pandemic Policy. A template for such a policy is available from the ICDA Policy Bank: </w:t>
            </w:r>
            <w:hyperlink r:id="rId8" w:history="1">
              <w:r w:rsidRPr="00737F80">
                <w:rPr>
                  <w:color w:val="0000FF"/>
                  <w:u w:val="single"/>
                </w:rPr>
                <w:t>https://communitydirectors.com.au/policies/epidemic-pandemic-policy</w:t>
              </w:r>
            </w:hyperlink>
            <w:r>
              <w:t>.</w:t>
            </w:r>
          </w:p>
        </w:tc>
        <w:tc>
          <w:tcPr>
            <w:tcW w:w="1559" w:type="dxa"/>
          </w:tcPr>
          <w:p w14:paraId="396D92EF" w14:textId="77777777" w:rsidR="00D22693" w:rsidRDefault="00D22693" w:rsidP="009B4A31">
            <w:r>
              <w:t>BH</w:t>
            </w:r>
          </w:p>
        </w:tc>
        <w:tc>
          <w:tcPr>
            <w:tcW w:w="1276" w:type="dxa"/>
          </w:tcPr>
          <w:p w14:paraId="3BAA9A97" w14:textId="77777777" w:rsidR="00D22693" w:rsidRDefault="00D22693" w:rsidP="009B4A31">
            <w:r>
              <w:t>20 June</w:t>
            </w:r>
          </w:p>
        </w:tc>
        <w:tc>
          <w:tcPr>
            <w:tcW w:w="1559" w:type="dxa"/>
          </w:tcPr>
          <w:p w14:paraId="1AF95C70" w14:textId="77777777" w:rsidR="00D22693" w:rsidRDefault="00D22693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D22693" w14:paraId="43A77D28" w14:textId="77777777" w:rsidTr="009B4A31">
        <w:tc>
          <w:tcPr>
            <w:tcW w:w="2101" w:type="dxa"/>
          </w:tcPr>
          <w:p w14:paraId="42088C5C" w14:textId="77777777" w:rsidR="00D22693" w:rsidRDefault="00D22693" w:rsidP="009B4A31"/>
        </w:tc>
        <w:tc>
          <w:tcPr>
            <w:tcW w:w="7392" w:type="dxa"/>
          </w:tcPr>
          <w:p w14:paraId="5CFD6F13" w14:textId="77777777" w:rsidR="00D22693" w:rsidRPr="004B76AF" w:rsidRDefault="00D22693" w:rsidP="009B4A31">
            <w:r w:rsidRPr="00B24DC3">
              <w:t xml:space="preserve">Design and adopt a </w:t>
            </w:r>
            <w:r w:rsidRPr="00B24DC3">
              <w:rPr>
                <w:bCs/>
              </w:rPr>
              <w:t>Returning to the Workplace Policy</w:t>
            </w:r>
            <w:r w:rsidRPr="00B24DC3">
              <w:t>. A template for such a policy is available on page 00.</w:t>
            </w:r>
          </w:p>
        </w:tc>
        <w:tc>
          <w:tcPr>
            <w:tcW w:w="1559" w:type="dxa"/>
          </w:tcPr>
          <w:p w14:paraId="019B1AF3" w14:textId="77777777" w:rsidR="00D22693" w:rsidRDefault="00D22693" w:rsidP="009B4A31">
            <w:r>
              <w:t>KR</w:t>
            </w:r>
          </w:p>
        </w:tc>
        <w:tc>
          <w:tcPr>
            <w:tcW w:w="1276" w:type="dxa"/>
          </w:tcPr>
          <w:p w14:paraId="36659719" w14:textId="77777777" w:rsidR="00D22693" w:rsidRDefault="00D22693" w:rsidP="009B4A31">
            <w:r>
              <w:t>20 June</w:t>
            </w:r>
          </w:p>
        </w:tc>
        <w:tc>
          <w:tcPr>
            <w:tcW w:w="1559" w:type="dxa"/>
          </w:tcPr>
          <w:p w14:paraId="7262641C" w14:textId="77777777" w:rsidR="00D22693" w:rsidRDefault="00D22693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D22693" w14:paraId="1144D4A0" w14:textId="77777777" w:rsidTr="009B4A31">
        <w:tc>
          <w:tcPr>
            <w:tcW w:w="2101" w:type="dxa"/>
          </w:tcPr>
          <w:p w14:paraId="0B795275" w14:textId="77777777" w:rsidR="00D22693" w:rsidRDefault="00D22693" w:rsidP="009B4A31">
            <w:r>
              <w:rPr>
                <w:b/>
                <w:bCs/>
              </w:rPr>
              <w:t>Communication</w:t>
            </w:r>
          </w:p>
        </w:tc>
        <w:tc>
          <w:tcPr>
            <w:tcW w:w="7392" w:type="dxa"/>
          </w:tcPr>
          <w:p w14:paraId="485D0DB2" w14:textId="77777777" w:rsidR="00D22693" w:rsidRDefault="00D22693" w:rsidP="009B4A31"/>
        </w:tc>
        <w:tc>
          <w:tcPr>
            <w:tcW w:w="1559" w:type="dxa"/>
          </w:tcPr>
          <w:p w14:paraId="34E35289" w14:textId="77777777" w:rsidR="00D22693" w:rsidRDefault="00D22693" w:rsidP="009B4A31"/>
        </w:tc>
        <w:tc>
          <w:tcPr>
            <w:tcW w:w="1276" w:type="dxa"/>
          </w:tcPr>
          <w:p w14:paraId="0FE228B1" w14:textId="77777777" w:rsidR="00D22693" w:rsidRDefault="00D22693" w:rsidP="009B4A31"/>
        </w:tc>
        <w:tc>
          <w:tcPr>
            <w:tcW w:w="1559" w:type="dxa"/>
          </w:tcPr>
          <w:p w14:paraId="723FB662" w14:textId="77777777" w:rsidR="00D22693" w:rsidRDefault="00D22693" w:rsidP="009B4A31"/>
        </w:tc>
      </w:tr>
      <w:tr w:rsidR="00D22693" w14:paraId="1C59E3CD" w14:textId="77777777" w:rsidTr="009B4A31">
        <w:tc>
          <w:tcPr>
            <w:tcW w:w="2101" w:type="dxa"/>
          </w:tcPr>
          <w:p w14:paraId="189DBDE4" w14:textId="77777777" w:rsidR="00D22693" w:rsidRPr="00DC357D" w:rsidRDefault="00D22693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768A9D68" w14:textId="77777777" w:rsidR="00D22693" w:rsidRDefault="00D22693" w:rsidP="009B4A31">
            <w:r>
              <w:t xml:space="preserve">Assign responsibility for </w:t>
            </w:r>
          </w:p>
          <w:p w14:paraId="3EC586DB" w14:textId="77777777" w:rsidR="00D22693" w:rsidRDefault="00D22693" w:rsidP="00D22693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mounting p</w:t>
            </w:r>
            <w:r w:rsidRPr="00674CC4">
              <w:t>osters</w:t>
            </w:r>
            <w:r>
              <w:t xml:space="preserve"> displaying health information (see </w:t>
            </w:r>
            <w:hyperlink r:id="rId9" w:anchor="posters" w:history="1">
              <w:r w:rsidRPr="001B0B57">
                <w:rPr>
                  <w:rStyle w:val="Hyperlink"/>
                  <w:rFonts w:eastAsiaTheme="majorEastAsia"/>
                </w:rPr>
                <w:t>www.health.gov.au/resources/collections/coronavirus-covid-19-campaign-resources#posters</w:t>
              </w:r>
            </w:hyperlink>
            <w:r>
              <w:t>)</w:t>
            </w:r>
          </w:p>
          <w:p w14:paraId="3AD364F0" w14:textId="77777777" w:rsidR="00D22693" w:rsidRDefault="00D22693" w:rsidP="00D22693">
            <w:pPr>
              <w:pStyle w:val="ListParagraph"/>
              <w:numPr>
                <w:ilvl w:val="0"/>
                <w:numId w:val="1"/>
              </w:numPr>
            </w:pPr>
            <w:r>
              <w:t>publishing health information on the organisation’s intranet or via email. Make clear to staff that</w:t>
            </w:r>
            <w:r w:rsidRPr="00D71294">
              <w:t xml:space="preserve"> anyone with even a mild cough or low-grade fever (37.3 C or more) needs to stay at home. Staff should also stay home (or work from home) if they have</w:t>
            </w:r>
            <w:r>
              <w:t xml:space="preserve"> had to take simple medications</w:t>
            </w:r>
            <w:r w:rsidRPr="00D71294">
              <w:t xml:space="preserve"> such as </w:t>
            </w:r>
            <w:r>
              <w:t>P</w:t>
            </w:r>
            <w:r w:rsidRPr="00D71294">
              <w:t>aracetamol, ibuprofen or aspirin, which may mask symptoms of infection</w:t>
            </w:r>
            <w:r>
              <w:t>.</w:t>
            </w:r>
          </w:p>
        </w:tc>
        <w:tc>
          <w:tcPr>
            <w:tcW w:w="1559" w:type="dxa"/>
          </w:tcPr>
          <w:p w14:paraId="5AD41BCF" w14:textId="77777777" w:rsidR="00D22693" w:rsidRDefault="00D22693" w:rsidP="009B4A31"/>
        </w:tc>
        <w:tc>
          <w:tcPr>
            <w:tcW w:w="1276" w:type="dxa"/>
          </w:tcPr>
          <w:p w14:paraId="163BBF20" w14:textId="77777777" w:rsidR="00D22693" w:rsidRDefault="00D22693" w:rsidP="009B4A31"/>
        </w:tc>
        <w:tc>
          <w:tcPr>
            <w:tcW w:w="1559" w:type="dxa"/>
          </w:tcPr>
          <w:p w14:paraId="0D1FE9D2" w14:textId="77777777" w:rsidR="00D22693" w:rsidRDefault="00D22693" w:rsidP="009B4A31"/>
        </w:tc>
      </w:tr>
      <w:tr w:rsidR="00D22693" w14:paraId="2EA2529F" w14:textId="77777777" w:rsidTr="009B4A31">
        <w:tc>
          <w:tcPr>
            <w:tcW w:w="2101" w:type="dxa"/>
          </w:tcPr>
          <w:p w14:paraId="3F84E007" w14:textId="77777777" w:rsidR="00D22693" w:rsidRPr="00870664" w:rsidRDefault="00D22693" w:rsidP="009B4A31">
            <w:pPr>
              <w:rPr>
                <w:b/>
                <w:bCs/>
              </w:rPr>
            </w:pPr>
            <w:r w:rsidRPr="00870664">
              <w:rPr>
                <w:b/>
                <w:bCs/>
              </w:rPr>
              <w:t>HR</w:t>
            </w:r>
          </w:p>
        </w:tc>
        <w:tc>
          <w:tcPr>
            <w:tcW w:w="7392" w:type="dxa"/>
          </w:tcPr>
          <w:p w14:paraId="67933AFE" w14:textId="77777777" w:rsidR="00D22693" w:rsidRDefault="00D22693" w:rsidP="009B4A31"/>
        </w:tc>
        <w:tc>
          <w:tcPr>
            <w:tcW w:w="1559" w:type="dxa"/>
          </w:tcPr>
          <w:p w14:paraId="164B02EF" w14:textId="77777777" w:rsidR="00D22693" w:rsidRDefault="00D22693" w:rsidP="009B4A31"/>
        </w:tc>
        <w:tc>
          <w:tcPr>
            <w:tcW w:w="1276" w:type="dxa"/>
          </w:tcPr>
          <w:p w14:paraId="56BC4A70" w14:textId="77777777" w:rsidR="00D22693" w:rsidRDefault="00D22693" w:rsidP="009B4A31"/>
        </w:tc>
        <w:tc>
          <w:tcPr>
            <w:tcW w:w="1559" w:type="dxa"/>
          </w:tcPr>
          <w:p w14:paraId="10808CB2" w14:textId="77777777" w:rsidR="00D22693" w:rsidRDefault="00D22693" w:rsidP="009B4A31"/>
        </w:tc>
      </w:tr>
      <w:tr w:rsidR="00D22693" w14:paraId="358D5619" w14:textId="77777777" w:rsidTr="009B4A31">
        <w:tc>
          <w:tcPr>
            <w:tcW w:w="2101" w:type="dxa"/>
          </w:tcPr>
          <w:p w14:paraId="24485BF4" w14:textId="77777777" w:rsidR="00D22693" w:rsidRPr="00C370E2" w:rsidRDefault="00D22693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06FC7058" w14:textId="77777777" w:rsidR="00D22693" w:rsidRDefault="00D22693" w:rsidP="009B4A31">
            <w:r>
              <w:t>Consult and negotiate with staff on work practices (see page 00</w:t>
            </w:r>
            <w:proofErr w:type="gramStart"/>
            <w:r>
              <w:t>), and</w:t>
            </w:r>
            <w:proofErr w:type="gramEnd"/>
            <w:r>
              <w:t xml:space="preserve"> modify agreements as necessary. Ensure that agreements contain provisions requiring employees and volunteers to observe health requirements, with provisions for discipline for breach.</w:t>
            </w:r>
          </w:p>
        </w:tc>
        <w:tc>
          <w:tcPr>
            <w:tcW w:w="1559" w:type="dxa"/>
          </w:tcPr>
          <w:p w14:paraId="1D6E8523" w14:textId="77777777" w:rsidR="00D22693" w:rsidRDefault="00D22693" w:rsidP="009B4A31"/>
        </w:tc>
        <w:tc>
          <w:tcPr>
            <w:tcW w:w="1276" w:type="dxa"/>
          </w:tcPr>
          <w:p w14:paraId="33F646CA" w14:textId="77777777" w:rsidR="00D22693" w:rsidRDefault="00D22693" w:rsidP="009B4A31"/>
        </w:tc>
        <w:tc>
          <w:tcPr>
            <w:tcW w:w="1559" w:type="dxa"/>
          </w:tcPr>
          <w:p w14:paraId="0A067A45" w14:textId="77777777" w:rsidR="00D22693" w:rsidRDefault="00D22693" w:rsidP="009B4A31"/>
        </w:tc>
      </w:tr>
      <w:tr w:rsidR="00D22693" w14:paraId="1D9D53C9" w14:textId="77777777" w:rsidTr="009B4A31">
        <w:tc>
          <w:tcPr>
            <w:tcW w:w="2101" w:type="dxa"/>
          </w:tcPr>
          <w:p w14:paraId="0A2CDD4B" w14:textId="77777777" w:rsidR="00D22693" w:rsidRPr="00870664" w:rsidRDefault="00D22693" w:rsidP="009B4A31">
            <w:pPr>
              <w:rPr>
                <w:b/>
                <w:bCs/>
              </w:rPr>
            </w:pPr>
            <w:r w:rsidRPr="00870664">
              <w:rPr>
                <w:b/>
                <w:bCs/>
              </w:rPr>
              <w:t>Information</w:t>
            </w:r>
          </w:p>
        </w:tc>
        <w:tc>
          <w:tcPr>
            <w:tcW w:w="7392" w:type="dxa"/>
          </w:tcPr>
          <w:p w14:paraId="76324269" w14:textId="77777777" w:rsidR="00D22693" w:rsidRDefault="00D22693" w:rsidP="009B4A31"/>
        </w:tc>
        <w:tc>
          <w:tcPr>
            <w:tcW w:w="1559" w:type="dxa"/>
          </w:tcPr>
          <w:p w14:paraId="012AB0E2" w14:textId="77777777" w:rsidR="00D22693" w:rsidRDefault="00D22693" w:rsidP="009B4A31"/>
        </w:tc>
        <w:tc>
          <w:tcPr>
            <w:tcW w:w="1276" w:type="dxa"/>
          </w:tcPr>
          <w:p w14:paraId="5DD06F98" w14:textId="77777777" w:rsidR="00D22693" w:rsidRDefault="00D22693" w:rsidP="009B4A31"/>
        </w:tc>
        <w:tc>
          <w:tcPr>
            <w:tcW w:w="1559" w:type="dxa"/>
          </w:tcPr>
          <w:p w14:paraId="2055FB7B" w14:textId="77777777" w:rsidR="00D22693" w:rsidRDefault="00D22693" w:rsidP="009B4A31"/>
        </w:tc>
      </w:tr>
      <w:tr w:rsidR="00D22693" w14:paraId="0C448AA9" w14:textId="77777777" w:rsidTr="009B4A31">
        <w:tc>
          <w:tcPr>
            <w:tcW w:w="2101" w:type="dxa"/>
          </w:tcPr>
          <w:p w14:paraId="37A3FF0A" w14:textId="77777777" w:rsidR="00D22693" w:rsidRDefault="00D22693" w:rsidP="009B4A31"/>
        </w:tc>
        <w:tc>
          <w:tcPr>
            <w:tcW w:w="7392" w:type="dxa"/>
          </w:tcPr>
          <w:p w14:paraId="297C053D" w14:textId="77777777" w:rsidR="00D22693" w:rsidRDefault="00D22693" w:rsidP="009B4A31">
            <w:r>
              <w:t xml:space="preserve">Collect contact information from visitors, clients, customers, contractors etc to facilitate contact tracing. See the template on page 00. </w:t>
            </w:r>
            <w:r>
              <w:br/>
            </w:r>
            <w:r>
              <w:br/>
            </w:r>
            <w:r w:rsidRPr="00A5761A">
              <w:rPr>
                <w:iCs/>
              </w:rPr>
              <w:t>Alternatively,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you can ask </w:t>
            </w:r>
            <w:r>
              <w:t xml:space="preserve">visitors, clients, customers, contractors etc to show that they have installed the </w:t>
            </w:r>
            <w:r w:rsidRPr="00A5761A">
              <w:t>COVIDSafe</w:t>
            </w:r>
            <w:r>
              <w:t xml:space="preserve"> app on their mobile phone (</w:t>
            </w:r>
            <w:hyperlink r:id="rId10" w:history="1">
              <w:r w:rsidRPr="001B0B57">
                <w:rPr>
                  <w:rStyle w:val="Hyperlink"/>
                </w:rPr>
                <w:t>www.health.gov.au/resources/apps-and-tools/covidsafe-app</w:t>
              </w:r>
            </w:hyperlink>
            <w:r>
              <w:t>).</w:t>
            </w:r>
          </w:p>
        </w:tc>
        <w:tc>
          <w:tcPr>
            <w:tcW w:w="1559" w:type="dxa"/>
          </w:tcPr>
          <w:p w14:paraId="15E1D080" w14:textId="77777777" w:rsidR="00D22693" w:rsidRDefault="00D22693" w:rsidP="009B4A31"/>
        </w:tc>
        <w:tc>
          <w:tcPr>
            <w:tcW w:w="1276" w:type="dxa"/>
          </w:tcPr>
          <w:p w14:paraId="13088217" w14:textId="77777777" w:rsidR="00D22693" w:rsidRDefault="00D22693" w:rsidP="009B4A31"/>
        </w:tc>
        <w:tc>
          <w:tcPr>
            <w:tcW w:w="1559" w:type="dxa"/>
          </w:tcPr>
          <w:p w14:paraId="487359B0" w14:textId="77777777" w:rsidR="00D22693" w:rsidRDefault="00D22693" w:rsidP="009B4A31"/>
        </w:tc>
      </w:tr>
      <w:tr w:rsidR="00D22693" w14:paraId="6274612F" w14:textId="77777777" w:rsidTr="009B4A31">
        <w:tc>
          <w:tcPr>
            <w:tcW w:w="2101" w:type="dxa"/>
          </w:tcPr>
          <w:p w14:paraId="3C882114" w14:textId="77777777" w:rsidR="00D22693" w:rsidRDefault="00D22693" w:rsidP="009B4A31"/>
        </w:tc>
        <w:tc>
          <w:tcPr>
            <w:tcW w:w="7392" w:type="dxa"/>
          </w:tcPr>
          <w:p w14:paraId="4D69D222" w14:textId="77777777" w:rsidR="00D22693" w:rsidRDefault="00D22693" w:rsidP="009B4A31">
            <w:r>
              <w:t xml:space="preserve">Develop policies and practices governing contact information consistent with privacy legislation and your organisation’s Privacy Policy (e.g. disposal schedules, use restrictions). A Privacy Policy template is available from the ICDA Policy Bank: </w:t>
            </w:r>
            <w:hyperlink r:id="rId11" w:history="1">
              <w:r w:rsidRPr="00B24DC3">
                <w:rPr>
                  <w:color w:val="0000FF"/>
                  <w:u w:val="single"/>
                </w:rPr>
                <w:t>https://communitydirectors.com.au/policies/privacy-policy</w:t>
              </w:r>
            </w:hyperlink>
            <w:r>
              <w:t>.</w:t>
            </w:r>
          </w:p>
        </w:tc>
        <w:tc>
          <w:tcPr>
            <w:tcW w:w="1559" w:type="dxa"/>
          </w:tcPr>
          <w:p w14:paraId="6FAF4255" w14:textId="77777777" w:rsidR="00D22693" w:rsidRDefault="00D22693" w:rsidP="009B4A31"/>
        </w:tc>
        <w:tc>
          <w:tcPr>
            <w:tcW w:w="1276" w:type="dxa"/>
          </w:tcPr>
          <w:p w14:paraId="3190AADE" w14:textId="77777777" w:rsidR="00D22693" w:rsidRDefault="00D22693" w:rsidP="009B4A31"/>
        </w:tc>
        <w:tc>
          <w:tcPr>
            <w:tcW w:w="1559" w:type="dxa"/>
          </w:tcPr>
          <w:p w14:paraId="15F7E762" w14:textId="77777777" w:rsidR="00D22693" w:rsidRDefault="00D22693" w:rsidP="009B4A31"/>
        </w:tc>
      </w:tr>
      <w:tr w:rsidR="00D22693" w14:paraId="50F4B97A" w14:textId="77777777" w:rsidTr="009B4A31">
        <w:tc>
          <w:tcPr>
            <w:tcW w:w="2101" w:type="dxa"/>
          </w:tcPr>
          <w:p w14:paraId="25C125F6" w14:textId="77777777" w:rsidR="00D22693" w:rsidRPr="00C370E2" w:rsidRDefault="00D22693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7DDA18B1" w14:textId="77777777" w:rsidR="00D22693" w:rsidRPr="00980702" w:rsidRDefault="00D22693" w:rsidP="009B4A31">
            <w:r>
              <w:t>Designate an employee to k</w:t>
            </w:r>
            <w:r w:rsidRPr="00D71294">
              <w:t>eep a record of which staff attend each area of the premises on each day, to allow contact tracing.</w:t>
            </w:r>
            <w:r>
              <w:t xml:space="preserve"> </w:t>
            </w:r>
            <w:r w:rsidRPr="00A5761A">
              <w:rPr>
                <w:iCs/>
              </w:rPr>
              <w:t xml:space="preserve">Note: Staff cannot be </w:t>
            </w:r>
            <w:r w:rsidRPr="00A5761A">
              <w:rPr>
                <w:i/>
                <w:iCs/>
              </w:rPr>
              <w:t>required</w:t>
            </w:r>
            <w:r w:rsidRPr="00A5761A">
              <w:rPr>
                <w:iCs/>
              </w:rPr>
              <w:t xml:space="preserve"> to use the </w:t>
            </w:r>
            <w:hyperlink r:id="rId12" w:history="1">
              <w:r w:rsidRPr="00A5761A">
                <w:rPr>
                  <w:rStyle w:val="Hyperlink"/>
                </w:rPr>
                <w:t>COVIDSafe</w:t>
              </w:r>
            </w:hyperlink>
            <w:r w:rsidRPr="00A5761A">
              <w:rPr>
                <w:iCs/>
              </w:rPr>
              <w:t xml:space="preserve"> app, but </w:t>
            </w:r>
            <w:r>
              <w:rPr>
                <w:iCs/>
              </w:rPr>
              <w:t>they can</w:t>
            </w:r>
            <w:r w:rsidRPr="00A5761A">
              <w:rPr>
                <w:iCs/>
              </w:rPr>
              <w:t xml:space="preserve"> be encouraged to do so.</w:t>
            </w:r>
          </w:p>
        </w:tc>
        <w:tc>
          <w:tcPr>
            <w:tcW w:w="1559" w:type="dxa"/>
          </w:tcPr>
          <w:p w14:paraId="32F245B3" w14:textId="77777777" w:rsidR="00D22693" w:rsidRDefault="00D22693" w:rsidP="009B4A31"/>
        </w:tc>
        <w:tc>
          <w:tcPr>
            <w:tcW w:w="1276" w:type="dxa"/>
          </w:tcPr>
          <w:p w14:paraId="1368A033" w14:textId="77777777" w:rsidR="00D22693" w:rsidRDefault="00D22693" w:rsidP="009B4A31"/>
        </w:tc>
        <w:tc>
          <w:tcPr>
            <w:tcW w:w="1559" w:type="dxa"/>
          </w:tcPr>
          <w:p w14:paraId="2FD67289" w14:textId="77777777" w:rsidR="00D22693" w:rsidRDefault="00D22693" w:rsidP="009B4A31"/>
        </w:tc>
      </w:tr>
      <w:tr w:rsidR="00D22693" w14:paraId="3798051A" w14:textId="77777777" w:rsidTr="009B4A31">
        <w:tc>
          <w:tcPr>
            <w:tcW w:w="2101" w:type="dxa"/>
          </w:tcPr>
          <w:p w14:paraId="577C50A4" w14:textId="77777777" w:rsidR="00D22693" w:rsidRPr="00B67C7D" w:rsidRDefault="00D22693" w:rsidP="009B4A31">
            <w:pPr>
              <w:rPr>
                <w:b/>
                <w:bCs/>
              </w:rPr>
            </w:pPr>
            <w:r w:rsidRPr="002A635E">
              <w:rPr>
                <w:b/>
                <w:bCs/>
              </w:rPr>
              <w:t>Special circumstances</w:t>
            </w:r>
          </w:p>
        </w:tc>
        <w:tc>
          <w:tcPr>
            <w:tcW w:w="7392" w:type="dxa"/>
          </w:tcPr>
          <w:p w14:paraId="572E7CD1" w14:textId="77777777" w:rsidR="00D22693" w:rsidRDefault="00D22693" w:rsidP="009B4A31"/>
        </w:tc>
        <w:tc>
          <w:tcPr>
            <w:tcW w:w="1559" w:type="dxa"/>
          </w:tcPr>
          <w:p w14:paraId="2D774494" w14:textId="77777777" w:rsidR="00D22693" w:rsidRDefault="00D22693" w:rsidP="009B4A31"/>
        </w:tc>
        <w:tc>
          <w:tcPr>
            <w:tcW w:w="1276" w:type="dxa"/>
          </w:tcPr>
          <w:p w14:paraId="538EB5C2" w14:textId="77777777" w:rsidR="00D22693" w:rsidRDefault="00D22693" w:rsidP="009B4A31"/>
        </w:tc>
        <w:tc>
          <w:tcPr>
            <w:tcW w:w="1559" w:type="dxa"/>
          </w:tcPr>
          <w:p w14:paraId="24DFC512" w14:textId="77777777" w:rsidR="00D22693" w:rsidRDefault="00D22693" w:rsidP="009B4A31"/>
        </w:tc>
      </w:tr>
      <w:tr w:rsidR="00D22693" w14:paraId="7AAE84AC" w14:textId="77777777" w:rsidTr="009B4A31">
        <w:tc>
          <w:tcPr>
            <w:tcW w:w="2101" w:type="dxa"/>
          </w:tcPr>
          <w:p w14:paraId="5E088DCF" w14:textId="77777777" w:rsidR="00D22693" w:rsidRPr="00621A0A" w:rsidRDefault="00D22693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09353676" w14:textId="77777777" w:rsidR="00D22693" w:rsidRPr="00B67C7D" w:rsidRDefault="00D22693" w:rsidP="009B4A31">
            <w:r w:rsidRPr="00D71294">
              <w:t xml:space="preserve">Organisations </w:t>
            </w:r>
            <w:r>
              <w:t>that undertake</w:t>
            </w:r>
            <w:r w:rsidRPr="00D71294">
              <w:t xml:space="preserve"> work </w:t>
            </w:r>
            <w:r>
              <w:t xml:space="preserve">with vulnerable client populations, work that entails physical contact with others, </w:t>
            </w:r>
            <w:r w:rsidRPr="00D71294">
              <w:t xml:space="preserve">or </w:t>
            </w:r>
            <w:r>
              <w:t>outdoor work</w:t>
            </w:r>
            <w:r w:rsidRPr="00D71294">
              <w:t xml:space="preserve"> will </w:t>
            </w:r>
            <w:r>
              <w:t>need</w:t>
            </w:r>
            <w:r w:rsidRPr="00D71294">
              <w:t xml:space="preserve"> to </w:t>
            </w:r>
            <w:r>
              <w:t>develop specific</w:t>
            </w:r>
            <w:r w:rsidRPr="00D71294">
              <w:t xml:space="preserve"> hygiene and </w:t>
            </w:r>
            <w:r>
              <w:t>physical</w:t>
            </w:r>
            <w:r w:rsidRPr="00D71294">
              <w:t xml:space="preserve"> distancing procedures</w:t>
            </w:r>
            <w:r>
              <w:t xml:space="preserve"> to suit their circumstances, and modify policies, procedures and documentation accordingly.</w:t>
            </w:r>
          </w:p>
        </w:tc>
        <w:tc>
          <w:tcPr>
            <w:tcW w:w="1559" w:type="dxa"/>
          </w:tcPr>
          <w:p w14:paraId="597714CC" w14:textId="77777777" w:rsidR="00D22693" w:rsidRDefault="00D22693" w:rsidP="009B4A31"/>
        </w:tc>
        <w:tc>
          <w:tcPr>
            <w:tcW w:w="1276" w:type="dxa"/>
          </w:tcPr>
          <w:p w14:paraId="4865BE56" w14:textId="77777777" w:rsidR="00D22693" w:rsidRDefault="00D22693" w:rsidP="009B4A31"/>
        </w:tc>
        <w:tc>
          <w:tcPr>
            <w:tcW w:w="1559" w:type="dxa"/>
          </w:tcPr>
          <w:p w14:paraId="0243B61F" w14:textId="77777777" w:rsidR="00D22693" w:rsidRDefault="00D22693" w:rsidP="009B4A31"/>
        </w:tc>
      </w:tr>
    </w:tbl>
    <w:p w14:paraId="57CCC394" w14:textId="77777777" w:rsidR="004F3E5A" w:rsidRDefault="003B2F32"/>
    <w:sectPr w:rsidR="004F3E5A" w:rsidSect="00587B4B">
      <w:headerReference w:type="default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341B4" w14:textId="77777777" w:rsidR="003B2F32" w:rsidRDefault="003B2F32" w:rsidP="00DB0C13">
      <w:r>
        <w:separator/>
      </w:r>
    </w:p>
  </w:endnote>
  <w:endnote w:type="continuationSeparator" w:id="0">
    <w:p w14:paraId="50870302" w14:textId="77777777" w:rsidR="003B2F32" w:rsidRDefault="003B2F32" w:rsidP="00D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E41" w14:textId="1B36D505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This checklist comes from </w:t>
    </w:r>
    <w:r w:rsidRPr="00DB0C13">
      <w:rPr>
        <w:rFonts w:ascii="Calibri" w:eastAsia="Times New Roman" w:hAnsi="Calibri" w:cs="Calibri"/>
        <w:i/>
        <w:iCs/>
        <w:color w:val="000000"/>
        <w:sz w:val="22"/>
        <w:szCs w:val="22"/>
        <w:lang w:eastAsia="en-GB"/>
      </w:rPr>
      <w:t>Damn Good Advice on Creating a COVID-19-Safe Workplace: A guide for NFP boards and managers.</w:t>
    </w:r>
  </w:p>
  <w:p w14:paraId="515D3B36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To see the full guide, tap here:</w:t>
    </w:r>
  </w:p>
  <w:p w14:paraId="00B557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hyperlink r:id="rId1" w:history="1">
      <w:r w:rsidRPr="00DB0C13">
        <w:rPr>
          <w:rFonts w:ascii="Calibri" w:eastAsia="Times New Roman" w:hAnsi="Calibri" w:cs="Calibri"/>
          <w:color w:val="800080"/>
          <w:sz w:val="22"/>
          <w:szCs w:val="22"/>
          <w:u w:val="single"/>
          <w:lang w:eastAsia="en-GB"/>
        </w:rPr>
        <w:t>communitydirectors.com.au/advice-guides/damn-good-advice-for-a-covid19-safe-nfp-workplace</w:t>
      </w:r>
    </w:hyperlink>
  </w:p>
  <w:p w14:paraId="47FA88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Arial" w:eastAsia="Times New Roman" w:hAnsi="Arial" w:cs="Arial"/>
        <w:color w:val="4A4A49"/>
        <w:sz w:val="20"/>
        <w:szCs w:val="20"/>
        <w:lang w:eastAsia="en-GB"/>
      </w:rPr>
      <w:t>It’s part of a suite of Save Our Sector resources available online at </w:t>
    </w:r>
    <w:hyperlink r:id="rId2" w:history="1">
      <w:r w:rsidRPr="00DB0C13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  <w:lang w:eastAsia="en-GB"/>
        </w:rPr>
        <w:t>communitydirectors.com.au/save-our-sector</w:t>
      </w:r>
    </w:hyperlink>
  </w:p>
  <w:p w14:paraId="5A49A6A6" w14:textId="77777777" w:rsidR="00DB0C13" w:rsidRDefault="00DB0C13" w:rsidP="00587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CB1B" w14:textId="77777777" w:rsidR="003B2F32" w:rsidRDefault="003B2F32" w:rsidP="00DB0C13">
      <w:r>
        <w:separator/>
      </w:r>
    </w:p>
  </w:footnote>
  <w:footnote w:type="continuationSeparator" w:id="0">
    <w:p w14:paraId="70C906C0" w14:textId="77777777" w:rsidR="003B2F32" w:rsidRDefault="003B2F32" w:rsidP="00DB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A7C3" w14:textId="7A909E94" w:rsidR="00587B4B" w:rsidRPr="00587B4B" w:rsidRDefault="00587B4B" w:rsidP="00587B4B">
    <w:pPr>
      <w:jc w:val="center"/>
      <w:rPr>
        <w:rFonts w:ascii="Times New Roman" w:eastAsia="Times New Roman" w:hAnsi="Times New Roman" w:cs="Times New Roman"/>
        <w:lang w:eastAsia="en-GB"/>
      </w:rPr>
    </w:pPr>
  </w:p>
  <w:p w14:paraId="15595641" w14:textId="77777777" w:rsidR="00587B4B" w:rsidRDefault="0058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863"/>
    <w:multiLevelType w:val="hybridMultilevel"/>
    <w:tmpl w:val="C5EC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3"/>
    <w:rsid w:val="0018502E"/>
    <w:rsid w:val="002579D3"/>
    <w:rsid w:val="002D4161"/>
    <w:rsid w:val="003B2F32"/>
    <w:rsid w:val="00587B4B"/>
    <w:rsid w:val="00994669"/>
    <w:rsid w:val="00D22693"/>
    <w:rsid w:val="00D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F3177"/>
  <w15:chartTrackingRefBased/>
  <w15:docId w15:val="{8BF14170-F0D5-FC48-AC19-93829CD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C1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13"/>
    <w:pPr>
      <w:keepNext/>
      <w:keepLines/>
      <w:spacing w:before="200" w:after="14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C13"/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0C13"/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table" w:styleId="TableGrid">
    <w:name w:val="Table Grid"/>
    <w:basedOn w:val="TableNormal"/>
    <w:uiPriority w:val="39"/>
    <w:rsid w:val="00DB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3"/>
  </w:style>
  <w:style w:type="paragraph" w:styleId="Footer">
    <w:name w:val="footer"/>
    <w:basedOn w:val="Normal"/>
    <w:link w:val="Foot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13"/>
  </w:style>
  <w:style w:type="character" w:customStyle="1" w:styleId="apple-converted-space">
    <w:name w:val="apple-converted-space"/>
    <w:basedOn w:val="DefaultParagraphFont"/>
    <w:rsid w:val="00DB0C13"/>
  </w:style>
  <w:style w:type="character" w:styleId="Hyperlink">
    <w:name w:val="Hyperlink"/>
    <w:basedOn w:val="DefaultParagraphFont"/>
    <w:uiPriority w:val="99"/>
    <w:semiHidden/>
    <w:unhideWhenUsed/>
    <w:rsid w:val="00DB0C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2693"/>
    <w:pPr>
      <w:spacing w:before="120" w:after="160"/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directors.com.au/policies/epidemic-pandemic-polic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alth.gov.au/resources/apps-and-tools/covidsafe-ap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directors.com.au/policies/privacy-poli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alth.gov.au/resources/apps-and-tools/covidsafe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au/resources/collections/coronavirus-covid-19-campaign-resour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unitydirectors.com.au/save-our-sector" TargetMode="External"/><Relationship Id="rId1" Type="http://schemas.openxmlformats.org/officeDocument/2006/relationships/hyperlink" Target="https://communitydirectors.com.au/advice-guides/damn-good-advice-for-a-covid19-safe-nfp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2</cp:revision>
  <dcterms:created xsi:type="dcterms:W3CDTF">2020-07-27T03:37:00Z</dcterms:created>
  <dcterms:modified xsi:type="dcterms:W3CDTF">2020-07-27T05:52:00Z</dcterms:modified>
</cp:coreProperties>
</file>